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14C" w:rsidRDefault="0092214C" w:rsidP="0092214C">
      <w:pPr>
        <w:shd w:val="clear" w:color="auto" w:fill="FFFFFF"/>
        <w:spacing w:before="300" w:after="150" w:line="240" w:lineRule="auto"/>
        <w:jc w:val="center"/>
        <w:outlineLvl w:val="1"/>
        <w:rPr>
          <w:rFonts w:ascii="Arial" w:eastAsia="Times New Roman" w:hAnsi="Arial" w:cs="Arial"/>
          <w:color w:val="333333"/>
          <w:sz w:val="36"/>
          <w:szCs w:val="36"/>
        </w:rPr>
      </w:pPr>
      <w:r>
        <w:rPr>
          <w:rFonts w:ascii="Arial" w:eastAsia="Times New Roman" w:hAnsi="Arial" w:cs="Arial"/>
          <w:noProof/>
          <w:color w:val="333333"/>
          <w:sz w:val="36"/>
          <w:szCs w:val="36"/>
        </w:rPr>
        <w:drawing>
          <wp:inline distT="0" distB="0" distL="0" distR="0">
            <wp:extent cx="45434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n-Trayte-email-banner.jpg"/>
                    <pic:cNvPicPr/>
                  </pic:nvPicPr>
                  <pic:blipFill>
                    <a:blip r:embed="rId5">
                      <a:extLst>
                        <a:ext uri="{28A0092B-C50C-407E-A947-70E740481C1C}">
                          <a14:useLocalDpi xmlns:a14="http://schemas.microsoft.com/office/drawing/2010/main" val="0"/>
                        </a:ext>
                      </a:extLst>
                    </a:blip>
                    <a:stretch>
                      <a:fillRect/>
                    </a:stretch>
                  </pic:blipFill>
                  <pic:spPr>
                    <a:xfrm>
                      <a:off x="0" y="0"/>
                      <a:ext cx="4543425" cy="1019175"/>
                    </a:xfrm>
                    <a:prstGeom prst="rect">
                      <a:avLst/>
                    </a:prstGeom>
                  </pic:spPr>
                </pic:pic>
              </a:graphicData>
            </a:graphic>
          </wp:inline>
        </w:drawing>
      </w:r>
    </w:p>
    <w:p w:rsidR="0092214C" w:rsidRDefault="0092214C" w:rsidP="00BF19B8">
      <w:pPr>
        <w:shd w:val="clear" w:color="auto" w:fill="FFFFFF"/>
        <w:spacing w:before="300" w:after="150" w:line="240" w:lineRule="auto"/>
        <w:outlineLvl w:val="1"/>
        <w:rPr>
          <w:rFonts w:ascii="Arial" w:eastAsia="Times New Roman" w:hAnsi="Arial" w:cs="Arial"/>
          <w:color w:val="333333"/>
          <w:sz w:val="36"/>
          <w:szCs w:val="36"/>
        </w:rPr>
      </w:pPr>
    </w:p>
    <w:p w:rsidR="00BF19B8" w:rsidRPr="00BF19B8" w:rsidRDefault="00BF19B8" w:rsidP="00BF19B8">
      <w:pPr>
        <w:shd w:val="clear" w:color="auto" w:fill="FFFFFF"/>
        <w:spacing w:before="300" w:after="150" w:line="240" w:lineRule="auto"/>
        <w:outlineLvl w:val="1"/>
        <w:rPr>
          <w:rFonts w:ascii="Arial" w:eastAsia="Times New Roman" w:hAnsi="Arial" w:cs="Arial"/>
          <w:color w:val="333333"/>
          <w:sz w:val="36"/>
          <w:szCs w:val="36"/>
        </w:rPr>
      </w:pPr>
      <w:bookmarkStart w:id="0" w:name="_GoBack"/>
      <w:bookmarkEnd w:id="0"/>
      <w:r w:rsidRPr="00BF19B8">
        <w:rPr>
          <w:rFonts w:ascii="Arial" w:eastAsia="Times New Roman" w:hAnsi="Arial" w:cs="Arial"/>
          <w:color w:val="333333"/>
          <w:sz w:val="36"/>
          <w:szCs w:val="36"/>
        </w:rPr>
        <w:t>Arizona Home Buying and Escrow Process</w:t>
      </w:r>
    </w:p>
    <w:p w:rsidR="00BF19B8" w:rsidRPr="00BF19B8" w:rsidRDefault="00BF19B8" w:rsidP="00BF19B8">
      <w:pPr>
        <w:shd w:val="clear" w:color="auto" w:fill="FFFFFF"/>
        <w:spacing w:before="300" w:after="150" w:line="240" w:lineRule="auto"/>
        <w:outlineLvl w:val="1"/>
        <w:rPr>
          <w:rFonts w:ascii="Arial" w:eastAsia="Times New Roman" w:hAnsi="Arial" w:cs="Arial"/>
          <w:color w:val="333333"/>
          <w:sz w:val="36"/>
          <w:szCs w:val="36"/>
        </w:rPr>
      </w:pPr>
      <w:r w:rsidRPr="00BF19B8">
        <w:rPr>
          <w:rFonts w:ascii="Arial" w:eastAsia="Times New Roman" w:hAnsi="Arial" w:cs="Arial"/>
          <w:color w:val="333333"/>
          <w:sz w:val="36"/>
          <w:szCs w:val="36"/>
        </w:rPr>
        <w:t>Overview</w:t>
      </w:r>
    </w:p>
    <w:p w:rsidR="00BF19B8" w:rsidRPr="00BF19B8" w:rsidRDefault="00BF19B8" w:rsidP="00BF19B8">
      <w:pPr>
        <w:numPr>
          <w:ilvl w:val="0"/>
          <w:numId w:val="1"/>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Arizona's escrow process is similar to other states where an </w:t>
      </w:r>
      <w:hyperlink r:id="rId6" w:history="1">
        <w:r w:rsidRPr="00BF19B8">
          <w:rPr>
            <w:rFonts w:ascii="Arial" w:eastAsia="Times New Roman" w:hAnsi="Arial" w:cs="Arial"/>
            <w:color w:val="337AB7"/>
            <w:sz w:val="21"/>
            <w:szCs w:val="21"/>
            <w:u w:val="single"/>
          </w:rPr>
          <w:t>escrow agent</w:t>
        </w:r>
      </w:hyperlink>
      <w:r w:rsidRPr="00BF19B8">
        <w:rPr>
          <w:rFonts w:ascii="Arial" w:eastAsia="Times New Roman" w:hAnsi="Arial" w:cs="Arial"/>
          <w:color w:val="333333"/>
          <w:sz w:val="21"/>
          <w:szCs w:val="21"/>
        </w:rPr>
        <w:t>, </w:t>
      </w:r>
      <w:hyperlink r:id="rId7" w:history="1">
        <w:r w:rsidRPr="00BF19B8">
          <w:rPr>
            <w:rFonts w:ascii="Arial" w:eastAsia="Times New Roman" w:hAnsi="Arial" w:cs="Arial"/>
            <w:color w:val="337AB7"/>
            <w:sz w:val="21"/>
            <w:szCs w:val="21"/>
            <w:u w:val="single"/>
          </w:rPr>
          <w:t>closing agent</w:t>
        </w:r>
      </w:hyperlink>
      <w:r w:rsidRPr="00BF19B8">
        <w:rPr>
          <w:rFonts w:ascii="Arial" w:eastAsia="Times New Roman" w:hAnsi="Arial" w:cs="Arial"/>
          <w:color w:val="333333"/>
          <w:sz w:val="21"/>
          <w:szCs w:val="21"/>
        </w:rPr>
        <w:t>, or representative from a </w:t>
      </w:r>
      <w:hyperlink r:id="rId8" w:history="1">
        <w:r w:rsidRPr="00BF19B8">
          <w:rPr>
            <w:rFonts w:ascii="Arial" w:eastAsia="Times New Roman" w:hAnsi="Arial" w:cs="Arial"/>
            <w:color w:val="337AB7"/>
            <w:sz w:val="21"/>
            <w:szCs w:val="21"/>
            <w:u w:val="single"/>
          </w:rPr>
          <w:t>title company</w:t>
        </w:r>
      </w:hyperlink>
      <w:r w:rsidRPr="00BF19B8">
        <w:rPr>
          <w:rFonts w:ascii="Arial" w:eastAsia="Times New Roman" w:hAnsi="Arial" w:cs="Arial"/>
          <w:color w:val="333333"/>
          <w:sz w:val="21"/>
          <w:szCs w:val="21"/>
        </w:rPr>
        <w:t> is used to complete the transaction.</w:t>
      </w:r>
    </w:p>
    <w:p w:rsidR="00BF19B8" w:rsidRPr="00BF19B8" w:rsidRDefault="00BF19B8" w:rsidP="00BF19B8">
      <w:pPr>
        <w:numPr>
          <w:ilvl w:val="0"/>
          <w:numId w:val="1"/>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buyer's funds are held by a neutral third party, as is the purchase contract, until an </w:t>
      </w:r>
      <w:hyperlink r:id="rId9" w:history="1">
        <w:r w:rsidRPr="00BF19B8">
          <w:rPr>
            <w:rFonts w:ascii="Arial" w:eastAsia="Times New Roman" w:hAnsi="Arial" w:cs="Arial"/>
            <w:color w:val="337AB7"/>
            <w:sz w:val="21"/>
            <w:szCs w:val="21"/>
            <w:u w:val="single"/>
          </w:rPr>
          <w:t>escrow agent</w:t>
        </w:r>
      </w:hyperlink>
      <w:r w:rsidRPr="00BF19B8">
        <w:rPr>
          <w:rFonts w:ascii="Arial" w:eastAsia="Times New Roman" w:hAnsi="Arial" w:cs="Arial"/>
          <w:color w:val="333333"/>
          <w:sz w:val="21"/>
          <w:szCs w:val="21"/>
        </w:rPr>
        <w:t> verifies that both parties have performed their roles in the transaction and prepares the new title.</w:t>
      </w:r>
    </w:p>
    <w:p w:rsidR="00BF19B8" w:rsidRPr="00BF19B8" w:rsidRDefault="00BF19B8" w:rsidP="00BF19B8">
      <w:pPr>
        <w:numPr>
          <w:ilvl w:val="0"/>
          <w:numId w:val="1"/>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escrow company then disburses all funds and the listing agent delivers the keys to the property to the buyer.</w:t>
      </w:r>
    </w:p>
    <w:p w:rsidR="00BF19B8" w:rsidRPr="00BF19B8" w:rsidRDefault="00BF19B8" w:rsidP="00BF19B8">
      <w:pPr>
        <w:numPr>
          <w:ilvl w:val="0"/>
          <w:numId w:val="1"/>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Arizona has its own environmental features that influence which inspections get performed, such as </w:t>
      </w:r>
      <w:hyperlink r:id="rId10" w:history="1">
        <w:r w:rsidRPr="00BF19B8">
          <w:rPr>
            <w:rFonts w:ascii="Arial" w:eastAsia="Times New Roman" w:hAnsi="Arial" w:cs="Arial"/>
            <w:color w:val="337AB7"/>
            <w:sz w:val="21"/>
            <w:szCs w:val="21"/>
            <w:u w:val="single"/>
          </w:rPr>
          <w:t>termite inspections</w:t>
        </w:r>
      </w:hyperlink>
      <w:r w:rsidRPr="00BF19B8">
        <w:rPr>
          <w:rFonts w:ascii="Arial" w:eastAsia="Times New Roman" w:hAnsi="Arial" w:cs="Arial"/>
          <w:color w:val="333333"/>
          <w:sz w:val="21"/>
          <w:szCs w:val="21"/>
        </w:rPr>
        <w:t>.</w:t>
      </w:r>
    </w:p>
    <w:p w:rsidR="00BF19B8" w:rsidRPr="00BF19B8" w:rsidRDefault="00BF19B8" w:rsidP="00BF19B8">
      <w:pPr>
        <w:shd w:val="clear" w:color="auto" w:fill="FFFFFF"/>
        <w:spacing w:before="300" w:after="150" w:line="240" w:lineRule="auto"/>
        <w:outlineLvl w:val="1"/>
        <w:rPr>
          <w:rFonts w:ascii="Arial" w:eastAsia="Times New Roman" w:hAnsi="Arial" w:cs="Arial"/>
          <w:color w:val="333333"/>
          <w:sz w:val="36"/>
          <w:szCs w:val="36"/>
        </w:rPr>
      </w:pPr>
      <w:r w:rsidRPr="00BF19B8">
        <w:rPr>
          <w:rFonts w:ascii="Arial" w:eastAsia="Times New Roman" w:hAnsi="Arial" w:cs="Arial"/>
          <w:color w:val="333333"/>
          <w:sz w:val="36"/>
          <w:szCs w:val="36"/>
        </w:rPr>
        <w:t>Step by Step</w:t>
      </w:r>
    </w:p>
    <w:p w:rsidR="00BF19B8" w:rsidRPr="00BF19B8" w:rsidRDefault="00BF19B8" w:rsidP="00BF19B8">
      <w:pPr>
        <w:shd w:val="clear" w:color="auto" w:fill="FFFFFF"/>
        <w:spacing w:before="300" w:after="75" w:line="240" w:lineRule="auto"/>
        <w:outlineLvl w:val="2"/>
        <w:rPr>
          <w:rFonts w:ascii="Arial" w:eastAsia="Times New Roman" w:hAnsi="Arial" w:cs="Arial"/>
          <w:color w:val="333333"/>
          <w:sz w:val="27"/>
          <w:szCs w:val="27"/>
        </w:rPr>
      </w:pPr>
      <w:r w:rsidRPr="00BF19B8">
        <w:rPr>
          <w:rFonts w:ascii="Arial" w:eastAsia="Times New Roman" w:hAnsi="Arial" w:cs="Arial"/>
          <w:color w:val="333333"/>
          <w:sz w:val="27"/>
          <w:szCs w:val="27"/>
        </w:rPr>
        <w:t>Part 1: Disclosures, inspections, and credits</w:t>
      </w:r>
    </w:p>
    <w:p w:rsidR="00BF19B8" w:rsidRPr="00BF19B8" w:rsidRDefault="00BF19B8" w:rsidP="00BF19B8">
      <w:pPr>
        <w:shd w:val="clear" w:color="auto" w:fill="FFFFFF"/>
        <w:spacing w:after="150"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These are the initial tasks once a buyer is in contract, and are most often done in parallel to Part 2: The mortgage process:</w:t>
      </w:r>
    </w:p>
    <w:p w:rsidR="00BF19B8" w:rsidRPr="00BF19B8" w:rsidRDefault="00BF19B8" w:rsidP="00BF19B8">
      <w:pPr>
        <w:numPr>
          <w:ilvl w:val="0"/>
          <w:numId w:val="2"/>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An offer is accepted by the seller and a contract is signed. The </w:t>
      </w:r>
      <w:hyperlink r:id="rId11" w:history="1">
        <w:r w:rsidRPr="00BF19B8">
          <w:rPr>
            <w:rFonts w:ascii="Arial" w:eastAsia="Times New Roman" w:hAnsi="Arial" w:cs="Arial"/>
            <w:color w:val="337AB7"/>
            <w:sz w:val="21"/>
            <w:szCs w:val="21"/>
            <w:u w:val="single"/>
          </w:rPr>
          <w:t>escrow process</w:t>
        </w:r>
      </w:hyperlink>
      <w:r w:rsidRPr="00BF19B8">
        <w:rPr>
          <w:rFonts w:ascii="Arial" w:eastAsia="Times New Roman" w:hAnsi="Arial" w:cs="Arial"/>
          <w:color w:val="333333"/>
          <w:sz w:val="21"/>
          <w:szCs w:val="21"/>
        </w:rPr>
        <w:t> begins.</w:t>
      </w:r>
    </w:p>
    <w:p w:rsidR="00BF19B8" w:rsidRPr="00BF19B8" w:rsidRDefault="00BF19B8" w:rsidP="00BF19B8">
      <w:pPr>
        <w:numPr>
          <w:ilvl w:val="0"/>
          <w:numId w:val="2"/>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A deposit, called </w:t>
      </w:r>
      <w:hyperlink r:id="rId12" w:history="1">
        <w:r w:rsidRPr="00BF19B8">
          <w:rPr>
            <w:rFonts w:ascii="Arial" w:eastAsia="Times New Roman" w:hAnsi="Arial" w:cs="Arial"/>
            <w:color w:val="337AB7"/>
            <w:sz w:val="21"/>
            <w:szCs w:val="21"/>
            <w:u w:val="single"/>
          </w:rPr>
          <w:t>earnest money</w:t>
        </w:r>
      </w:hyperlink>
      <w:r w:rsidRPr="00BF19B8">
        <w:rPr>
          <w:rFonts w:ascii="Arial" w:eastAsia="Times New Roman" w:hAnsi="Arial" w:cs="Arial"/>
          <w:color w:val="333333"/>
          <w:sz w:val="21"/>
          <w:szCs w:val="21"/>
        </w:rPr>
        <w:t>, is deposited with the seller's real estate brokerage, an </w:t>
      </w:r>
      <w:hyperlink r:id="rId13" w:history="1">
        <w:r w:rsidRPr="00BF19B8">
          <w:rPr>
            <w:rFonts w:ascii="Arial" w:eastAsia="Times New Roman" w:hAnsi="Arial" w:cs="Arial"/>
            <w:color w:val="337AB7"/>
            <w:sz w:val="21"/>
            <w:szCs w:val="21"/>
            <w:u w:val="single"/>
          </w:rPr>
          <w:t>escrow agent</w:t>
        </w:r>
      </w:hyperlink>
      <w:r w:rsidRPr="00BF19B8">
        <w:rPr>
          <w:rFonts w:ascii="Arial" w:eastAsia="Times New Roman" w:hAnsi="Arial" w:cs="Arial"/>
          <w:color w:val="333333"/>
          <w:sz w:val="21"/>
          <w:szCs w:val="21"/>
        </w:rPr>
        <w:t>, or an attorney depending on the contract (never to the seller directly). Escrow companies are often part of a title company, but work as separate divisions.</w:t>
      </w:r>
    </w:p>
    <w:p w:rsidR="00BF19B8" w:rsidRPr="00BF19B8" w:rsidRDefault="00BF19B8" w:rsidP="00BF19B8">
      <w:pPr>
        <w:numPr>
          <w:ilvl w:val="0"/>
          <w:numId w:val="2"/>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buyer reviews and signs off on any </w:t>
      </w:r>
      <w:hyperlink r:id="rId14" w:history="1">
        <w:r w:rsidRPr="00BF19B8">
          <w:rPr>
            <w:rFonts w:ascii="Arial" w:eastAsia="Times New Roman" w:hAnsi="Arial" w:cs="Arial"/>
            <w:color w:val="337AB7"/>
            <w:sz w:val="21"/>
            <w:szCs w:val="21"/>
            <w:u w:val="single"/>
          </w:rPr>
          <w:t>disclosures</w:t>
        </w:r>
      </w:hyperlink>
      <w:r w:rsidRPr="00BF19B8">
        <w:rPr>
          <w:rFonts w:ascii="Arial" w:eastAsia="Times New Roman" w:hAnsi="Arial" w:cs="Arial"/>
          <w:color w:val="333333"/>
          <w:sz w:val="21"/>
          <w:szCs w:val="21"/>
        </w:rPr>
        <w:t>, usually attached in a standard form as an addendum to the purchase contract. These disclosures vary based on property type, but often include things like known flaws with the property, prior improvements or repairs, and potential environmental hazards. A form called a Seller's Property Disclosure Statement (</w:t>
      </w:r>
      <w:hyperlink r:id="rId15" w:history="1">
        <w:r w:rsidRPr="00BF19B8">
          <w:rPr>
            <w:rFonts w:ascii="Arial" w:eastAsia="Times New Roman" w:hAnsi="Arial" w:cs="Arial"/>
            <w:color w:val="337AB7"/>
            <w:sz w:val="21"/>
            <w:szCs w:val="21"/>
            <w:u w:val="single"/>
          </w:rPr>
          <w:t xml:space="preserve">see </w:t>
        </w:r>
        <w:r w:rsidRPr="00BF19B8">
          <w:rPr>
            <w:rFonts w:ascii="Arial" w:eastAsia="Times New Roman" w:hAnsi="Arial" w:cs="Arial"/>
            <w:color w:val="337AB7"/>
            <w:sz w:val="21"/>
            <w:szCs w:val="21"/>
            <w:u w:val="single"/>
          </w:rPr>
          <w:lastRenderedPageBreak/>
          <w:t>a sample form from the Arizona Association of Realtors®</w:t>
        </w:r>
      </w:hyperlink>
      <w:r w:rsidRPr="00BF19B8">
        <w:rPr>
          <w:rFonts w:ascii="Arial" w:eastAsia="Times New Roman" w:hAnsi="Arial" w:cs="Arial"/>
          <w:color w:val="333333"/>
          <w:sz w:val="21"/>
          <w:szCs w:val="21"/>
        </w:rPr>
        <w:t>) is provided by the seller either with the contract itself or during the inspection period. Sellers may see this as beneficial to themselves, and believe that buyers will build these pre-disclosed facts into the contract price (and thus sellers may be reluctant to provide any credits for these defects).</w:t>
      </w:r>
    </w:p>
    <w:p w:rsidR="00BF19B8" w:rsidRPr="00BF19B8" w:rsidRDefault="00BF19B8" w:rsidP="00BF19B8">
      <w:pPr>
        <w:numPr>
          <w:ilvl w:val="0"/>
          <w:numId w:val="2"/>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buyer elects to perform </w:t>
      </w:r>
      <w:hyperlink r:id="rId16" w:history="1">
        <w:r w:rsidRPr="00BF19B8">
          <w:rPr>
            <w:rFonts w:ascii="Arial" w:eastAsia="Times New Roman" w:hAnsi="Arial" w:cs="Arial"/>
            <w:color w:val="337AB7"/>
            <w:sz w:val="21"/>
            <w:szCs w:val="21"/>
            <w:u w:val="single"/>
          </w:rPr>
          <w:t>inspections</w:t>
        </w:r>
      </w:hyperlink>
      <w:r w:rsidRPr="00BF19B8">
        <w:rPr>
          <w:rFonts w:ascii="Arial" w:eastAsia="Times New Roman" w:hAnsi="Arial" w:cs="Arial"/>
          <w:color w:val="333333"/>
          <w:sz w:val="21"/>
          <w:szCs w:val="21"/>
        </w:rPr>
        <w:t> on the property as agreed upon in the contract. In Arizona, an </w:t>
      </w:r>
      <w:hyperlink r:id="rId17" w:history="1">
        <w:r w:rsidRPr="00BF19B8">
          <w:rPr>
            <w:rFonts w:ascii="Arial" w:eastAsia="Times New Roman" w:hAnsi="Arial" w:cs="Arial"/>
            <w:color w:val="337AB7"/>
            <w:sz w:val="21"/>
            <w:szCs w:val="21"/>
            <w:u w:val="single"/>
          </w:rPr>
          <w:t>inspection period</w:t>
        </w:r>
      </w:hyperlink>
      <w:r w:rsidRPr="00BF19B8">
        <w:rPr>
          <w:rFonts w:ascii="Arial" w:eastAsia="Times New Roman" w:hAnsi="Arial" w:cs="Arial"/>
          <w:color w:val="333333"/>
          <w:sz w:val="21"/>
          <w:szCs w:val="21"/>
        </w:rPr>
        <w:t> is defined in the contract as a set number of days during which a buyer must perform any inspections of the property. The types of inspections vary by property type and situation (and locale), but in Arizona, common inspections include an initial inspection by a licensed </w:t>
      </w:r>
      <w:hyperlink r:id="rId18" w:history="1">
        <w:r w:rsidRPr="00BF19B8">
          <w:rPr>
            <w:rFonts w:ascii="Arial" w:eastAsia="Times New Roman" w:hAnsi="Arial" w:cs="Arial"/>
            <w:color w:val="337AB7"/>
            <w:sz w:val="21"/>
            <w:szCs w:val="21"/>
            <w:u w:val="single"/>
          </w:rPr>
          <w:t>home inspector</w:t>
        </w:r>
      </w:hyperlink>
      <w:r w:rsidRPr="00BF19B8">
        <w:rPr>
          <w:rFonts w:ascii="Arial" w:eastAsia="Times New Roman" w:hAnsi="Arial" w:cs="Arial"/>
          <w:color w:val="333333"/>
          <w:sz w:val="21"/>
          <w:szCs w:val="21"/>
        </w:rPr>
        <w:t> and additionally a </w:t>
      </w:r>
      <w:hyperlink r:id="rId19" w:history="1">
        <w:r w:rsidRPr="00BF19B8">
          <w:rPr>
            <w:rFonts w:ascii="Arial" w:eastAsia="Times New Roman" w:hAnsi="Arial" w:cs="Arial"/>
            <w:color w:val="337AB7"/>
            <w:sz w:val="21"/>
            <w:szCs w:val="21"/>
            <w:u w:val="single"/>
          </w:rPr>
          <w:t>termite inspection</w:t>
        </w:r>
      </w:hyperlink>
      <w:r w:rsidRPr="00BF19B8">
        <w:rPr>
          <w:rFonts w:ascii="Arial" w:eastAsia="Times New Roman" w:hAnsi="Arial" w:cs="Arial"/>
          <w:color w:val="333333"/>
          <w:sz w:val="21"/>
          <w:szCs w:val="21"/>
        </w:rPr>
        <w:t>.</w:t>
      </w:r>
    </w:p>
    <w:p w:rsidR="00BF19B8" w:rsidRPr="00BF19B8" w:rsidRDefault="00BF19B8" w:rsidP="00BF19B8">
      <w:pPr>
        <w:numPr>
          <w:ilvl w:val="0"/>
          <w:numId w:val="2"/>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Based on the outcome of inspections, buyers may walk away - or elect to ask the seller for repair work, closing </w:t>
      </w:r>
      <w:hyperlink r:id="rId20" w:history="1">
        <w:r w:rsidRPr="00BF19B8">
          <w:rPr>
            <w:rFonts w:ascii="Arial" w:eastAsia="Times New Roman" w:hAnsi="Arial" w:cs="Arial"/>
            <w:color w:val="337AB7"/>
            <w:sz w:val="21"/>
            <w:szCs w:val="21"/>
            <w:u w:val="single"/>
          </w:rPr>
          <w:t>credits</w:t>
        </w:r>
      </w:hyperlink>
      <w:r w:rsidRPr="00BF19B8">
        <w:rPr>
          <w:rFonts w:ascii="Arial" w:eastAsia="Times New Roman" w:hAnsi="Arial" w:cs="Arial"/>
          <w:color w:val="333333"/>
          <w:sz w:val="21"/>
          <w:szCs w:val="21"/>
        </w:rPr>
        <w:t>, or a reduction in the sale price due to flaws that were uncovered. Sellers have a set period of time (5 days is common) to respond one of three ways: 1) agree to all of the buyer's requests, 2) offer a modified solution back to the buyer, or 3) decline to make any amends. In response, the buyer can continue to negotiate, accept the seller's position, or end the transaction within a set number of days (also 5 days, commonly). If the buyer declines the seller's solution within the time period, they are free to end the transaction and recoup their earnest money. Of course, all communications back and forth between buyer and seller regarding inspections and negotiations around them must be done in writing.</w:t>
      </w:r>
    </w:p>
    <w:p w:rsidR="00BF19B8" w:rsidRPr="00BF19B8" w:rsidRDefault="00BF19B8" w:rsidP="00BF19B8">
      <w:pPr>
        <w:shd w:val="clear" w:color="auto" w:fill="FFFFFF"/>
        <w:spacing w:before="300" w:after="75" w:line="240" w:lineRule="auto"/>
        <w:outlineLvl w:val="2"/>
        <w:rPr>
          <w:rFonts w:ascii="Arial" w:eastAsia="Times New Roman" w:hAnsi="Arial" w:cs="Arial"/>
          <w:color w:val="333333"/>
          <w:sz w:val="27"/>
          <w:szCs w:val="27"/>
        </w:rPr>
      </w:pPr>
      <w:r w:rsidRPr="00BF19B8">
        <w:rPr>
          <w:rFonts w:ascii="Arial" w:eastAsia="Times New Roman" w:hAnsi="Arial" w:cs="Arial"/>
          <w:color w:val="333333"/>
          <w:sz w:val="27"/>
          <w:szCs w:val="27"/>
        </w:rPr>
        <w:t>Part 2: The mortgage process</w:t>
      </w:r>
    </w:p>
    <w:p w:rsidR="00BF19B8" w:rsidRPr="00BF19B8" w:rsidRDefault="00BF19B8" w:rsidP="00BF19B8">
      <w:pPr>
        <w:shd w:val="clear" w:color="auto" w:fill="FFFFFF"/>
        <w:spacing w:after="150"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 xml:space="preserve">For those borrowing to purchase their home, the mortgage process is usually the </w:t>
      </w:r>
      <w:proofErr w:type="spellStart"/>
      <w:r w:rsidRPr="00BF19B8">
        <w:rPr>
          <w:rFonts w:ascii="Arial" w:eastAsia="Times New Roman" w:hAnsi="Arial" w:cs="Arial"/>
          <w:color w:val="333333"/>
          <w:sz w:val="21"/>
          <w:szCs w:val="21"/>
        </w:rPr>
        <w:t>the</w:t>
      </w:r>
      <w:proofErr w:type="spellEnd"/>
      <w:r w:rsidRPr="00BF19B8">
        <w:rPr>
          <w:rFonts w:ascii="Arial" w:eastAsia="Times New Roman" w:hAnsi="Arial" w:cs="Arial"/>
          <w:color w:val="333333"/>
          <w:sz w:val="21"/>
          <w:szCs w:val="21"/>
        </w:rPr>
        <w:t xml:space="preserve"> most stressful and opaque part of the transaction. It's best to start as early as possible and be ready to produce lots of documentation. The following is the general process in Arizona:</w:t>
      </w:r>
    </w:p>
    <w:p w:rsidR="00BF19B8" w:rsidRPr="00BF19B8" w:rsidRDefault="00BF19B8"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A buyer submits a </w:t>
      </w:r>
      <w:hyperlink r:id="rId21" w:history="1">
        <w:r w:rsidRPr="00BF19B8">
          <w:rPr>
            <w:rFonts w:ascii="Arial" w:eastAsia="Times New Roman" w:hAnsi="Arial" w:cs="Arial"/>
            <w:color w:val="337AB7"/>
            <w:sz w:val="21"/>
            <w:szCs w:val="21"/>
            <w:u w:val="single"/>
          </w:rPr>
          <w:t>loan application</w:t>
        </w:r>
      </w:hyperlink>
      <w:r w:rsidRPr="00BF19B8">
        <w:rPr>
          <w:rFonts w:ascii="Arial" w:eastAsia="Times New Roman" w:hAnsi="Arial" w:cs="Arial"/>
          <w:color w:val="333333"/>
          <w:sz w:val="21"/>
          <w:szCs w:val="21"/>
        </w:rPr>
        <w:t> to their lender, either directly or through a </w:t>
      </w:r>
      <w:hyperlink r:id="rId22" w:history="1">
        <w:r w:rsidRPr="00BF19B8">
          <w:rPr>
            <w:rFonts w:ascii="Arial" w:eastAsia="Times New Roman" w:hAnsi="Arial" w:cs="Arial"/>
            <w:color w:val="337AB7"/>
            <w:sz w:val="21"/>
            <w:szCs w:val="21"/>
            <w:u w:val="single"/>
          </w:rPr>
          <w:t>mortgage broker</w:t>
        </w:r>
      </w:hyperlink>
      <w:r w:rsidRPr="00BF19B8">
        <w:rPr>
          <w:rFonts w:ascii="Arial" w:eastAsia="Times New Roman" w:hAnsi="Arial" w:cs="Arial"/>
          <w:color w:val="333333"/>
          <w:sz w:val="21"/>
          <w:szCs w:val="21"/>
        </w:rPr>
        <w:t>. </w:t>
      </w:r>
      <w:hyperlink r:id="rId23" w:history="1">
        <w:r w:rsidRPr="00BF19B8">
          <w:rPr>
            <w:rFonts w:ascii="Arial" w:eastAsia="Times New Roman" w:hAnsi="Arial" w:cs="Arial"/>
            <w:color w:val="337AB7"/>
            <w:sz w:val="21"/>
            <w:szCs w:val="21"/>
            <w:u w:val="single"/>
          </w:rPr>
          <w:t>See a sample Uniform Residential Loan Application used in Arizona</w:t>
        </w:r>
      </w:hyperlink>
      <w:r w:rsidRPr="00BF19B8">
        <w:rPr>
          <w:rFonts w:ascii="Arial" w:eastAsia="Times New Roman" w:hAnsi="Arial" w:cs="Arial"/>
          <w:color w:val="333333"/>
          <w:sz w:val="21"/>
          <w:szCs w:val="21"/>
        </w:rPr>
        <w:t>. Of course, well before this point, a pre-qualification or pre-approval with a lender should have been acquired.</w:t>
      </w:r>
    </w:p>
    <w:p w:rsidR="00BF19B8" w:rsidRPr="00BF19B8" w:rsidRDefault="00BF19B8"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lender sends a "</w:t>
      </w:r>
      <w:hyperlink r:id="rId24" w:history="1">
        <w:r w:rsidRPr="00BF19B8">
          <w:rPr>
            <w:rFonts w:ascii="Arial" w:eastAsia="Times New Roman" w:hAnsi="Arial" w:cs="Arial"/>
            <w:color w:val="337AB7"/>
            <w:sz w:val="21"/>
            <w:szCs w:val="21"/>
            <w:u w:val="single"/>
          </w:rPr>
          <w:t>Good Faith Estimate</w:t>
        </w:r>
      </w:hyperlink>
      <w:r w:rsidRPr="00BF19B8">
        <w:rPr>
          <w:rFonts w:ascii="Arial" w:eastAsia="Times New Roman" w:hAnsi="Arial" w:cs="Arial"/>
          <w:color w:val="333333"/>
          <w:sz w:val="21"/>
          <w:szCs w:val="21"/>
        </w:rPr>
        <w:t xml:space="preserve">," or </w:t>
      </w:r>
      <w:proofErr w:type="spellStart"/>
      <w:r w:rsidRPr="00BF19B8">
        <w:rPr>
          <w:rFonts w:ascii="Arial" w:eastAsia="Times New Roman" w:hAnsi="Arial" w:cs="Arial"/>
          <w:color w:val="333333"/>
          <w:sz w:val="21"/>
          <w:szCs w:val="21"/>
        </w:rPr>
        <w:t>GFE</w:t>
      </w:r>
      <w:proofErr w:type="spellEnd"/>
      <w:r w:rsidRPr="00BF19B8">
        <w:rPr>
          <w:rFonts w:ascii="Arial" w:eastAsia="Times New Roman" w:hAnsi="Arial" w:cs="Arial"/>
          <w:color w:val="333333"/>
          <w:sz w:val="21"/>
          <w:szCs w:val="21"/>
        </w:rPr>
        <w:t>, to the buyer that is a breakdown of estimated closing costs. The final costs are likely to deviate from this estimate. </w:t>
      </w:r>
      <w:hyperlink r:id="rId25" w:history="1">
        <w:r w:rsidRPr="00BF19B8">
          <w:rPr>
            <w:rFonts w:ascii="Arial" w:eastAsia="Times New Roman" w:hAnsi="Arial" w:cs="Arial"/>
            <w:color w:val="337AB7"/>
            <w:sz w:val="21"/>
            <w:szCs w:val="21"/>
            <w:u w:val="single"/>
          </w:rPr>
          <w:t xml:space="preserve">See a sample </w:t>
        </w:r>
        <w:proofErr w:type="spellStart"/>
        <w:r w:rsidRPr="00BF19B8">
          <w:rPr>
            <w:rFonts w:ascii="Arial" w:eastAsia="Times New Roman" w:hAnsi="Arial" w:cs="Arial"/>
            <w:color w:val="337AB7"/>
            <w:sz w:val="21"/>
            <w:szCs w:val="21"/>
            <w:u w:val="single"/>
          </w:rPr>
          <w:t>GFE</w:t>
        </w:r>
        <w:proofErr w:type="spellEnd"/>
        <w:r w:rsidRPr="00BF19B8">
          <w:rPr>
            <w:rFonts w:ascii="Arial" w:eastAsia="Times New Roman" w:hAnsi="Arial" w:cs="Arial"/>
            <w:color w:val="337AB7"/>
            <w:sz w:val="21"/>
            <w:szCs w:val="21"/>
            <w:u w:val="single"/>
          </w:rPr>
          <w:t xml:space="preserve"> at </w:t>
        </w:r>
        <w:proofErr w:type="spellStart"/>
        <w:r w:rsidRPr="00BF19B8">
          <w:rPr>
            <w:rFonts w:ascii="Arial" w:eastAsia="Times New Roman" w:hAnsi="Arial" w:cs="Arial"/>
            <w:color w:val="337AB7"/>
            <w:sz w:val="21"/>
            <w:szCs w:val="21"/>
            <w:u w:val="single"/>
          </w:rPr>
          <w:t>hud.gov</w:t>
        </w:r>
        <w:proofErr w:type="spellEnd"/>
      </w:hyperlink>
      <w:r w:rsidRPr="00BF19B8">
        <w:rPr>
          <w:rFonts w:ascii="Arial" w:eastAsia="Times New Roman" w:hAnsi="Arial" w:cs="Arial"/>
          <w:color w:val="333333"/>
          <w:sz w:val="21"/>
          <w:szCs w:val="21"/>
        </w:rPr>
        <w:t>.</w:t>
      </w:r>
    </w:p>
    <w:p w:rsidR="00BF19B8" w:rsidRPr="00BF19B8" w:rsidRDefault="00BF19B8"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buyer sends a series of </w:t>
      </w:r>
      <w:hyperlink r:id="rId26" w:history="1">
        <w:r w:rsidRPr="00BF19B8">
          <w:rPr>
            <w:rFonts w:ascii="Arial" w:eastAsia="Times New Roman" w:hAnsi="Arial" w:cs="Arial"/>
            <w:color w:val="337AB7"/>
            <w:sz w:val="21"/>
            <w:szCs w:val="21"/>
            <w:u w:val="single"/>
          </w:rPr>
          <w:t>personal financial disclosures</w:t>
        </w:r>
      </w:hyperlink>
      <w:r w:rsidRPr="00BF19B8">
        <w:rPr>
          <w:rFonts w:ascii="Arial" w:eastAsia="Times New Roman" w:hAnsi="Arial" w:cs="Arial"/>
          <w:color w:val="333333"/>
          <w:sz w:val="21"/>
          <w:szCs w:val="21"/>
        </w:rPr>
        <w:t> to the lender. These vary by situation, but the most commonly requested documents are:</w:t>
      </w:r>
      <w:r w:rsidRPr="00BF19B8">
        <w:rPr>
          <w:rFonts w:ascii="Arial" w:eastAsia="Times New Roman" w:hAnsi="Arial" w:cs="Arial"/>
          <w:color w:val="333333"/>
          <w:sz w:val="21"/>
          <w:szCs w:val="21"/>
        </w:rPr>
        <w:br/>
      </w:r>
    </w:p>
    <w:p w:rsidR="00BF19B8" w:rsidRPr="00BF19B8" w:rsidRDefault="00BF19B8" w:rsidP="00BF19B8">
      <w:pPr>
        <w:numPr>
          <w:ilvl w:val="1"/>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Several months of statements for each bank account a borrower holds (including any investment accounts)</w:t>
      </w:r>
    </w:p>
    <w:p w:rsidR="00BF19B8" w:rsidRPr="00BF19B8" w:rsidRDefault="00BF19B8" w:rsidP="00BF19B8">
      <w:pPr>
        <w:numPr>
          <w:ilvl w:val="1"/>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lastRenderedPageBreak/>
        <w:t>Several months of statements for any outstanding loans, lines of credit, or other liabilities. This can also include documentation of rent payments.</w:t>
      </w:r>
    </w:p>
    <w:p w:rsidR="00BF19B8" w:rsidRPr="00BF19B8" w:rsidRDefault="00BF19B8" w:rsidP="00BF19B8">
      <w:pPr>
        <w:numPr>
          <w:ilvl w:val="1"/>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Up to two years of tax returns, released to the lender via an authorization submitted by the buyer using </w:t>
      </w:r>
      <w:hyperlink r:id="rId27" w:history="1">
        <w:r w:rsidRPr="00BF19B8">
          <w:rPr>
            <w:rFonts w:ascii="Arial" w:eastAsia="Times New Roman" w:hAnsi="Arial" w:cs="Arial"/>
            <w:color w:val="337AB7"/>
            <w:sz w:val="21"/>
            <w:szCs w:val="21"/>
            <w:u w:val="single"/>
          </w:rPr>
          <w:t>IRS form 4506-T.</w:t>
        </w:r>
      </w:hyperlink>
    </w:p>
    <w:p w:rsidR="00BF19B8" w:rsidRPr="00BF19B8" w:rsidRDefault="00BF19B8" w:rsidP="00BF19B8">
      <w:pPr>
        <w:numPr>
          <w:ilvl w:val="1"/>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Recent pay stubs and contact information for each borrower's employer. The number of pay stubs varies by situation.</w:t>
      </w:r>
    </w:p>
    <w:p w:rsidR="00BF19B8" w:rsidRPr="00BF19B8" w:rsidRDefault="00BF19B8" w:rsidP="00BF19B8">
      <w:pPr>
        <w:numPr>
          <w:ilvl w:val="1"/>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Any other disclosures that are material to a borrower's financial situation. This includes but is not limited to marriage licenses, divorce settlements, child support, liens, bankruptcies, or judgments. If there's something that affects how much money you have on hand that isn't shown by simply looking at your salary, be prepared to document it.</w:t>
      </w:r>
    </w:p>
    <w:p w:rsidR="00BF19B8" w:rsidRPr="00BF19B8" w:rsidRDefault="00BF19B8" w:rsidP="00BF19B8">
      <w:pPr>
        <w:numPr>
          <w:ilvl w:val="1"/>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Explanation of any credit inquiries</w:t>
      </w:r>
    </w:p>
    <w:p w:rsidR="00BF19B8" w:rsidRPr="00BF19B8" w:rsidRDefault="00BF19B8" w:rsidP="00BF19B8">
      <w:pPr>
        <w:numPr>
          <w:ilvl w:val="1"/>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Substantiation of any large deposits or cash gifts that aren't regular income. In some cases, a large cash gift may look similar to a personal loan by a friend or family member, and lenders will require </w:t>
      </w:r>
      <w:hyperlink r:id="rId28" w:history="1">
        <w:r w:rsidRPr="00BF19B8">
          <w:rPr>
            <w:rFonts w:ascii="Arial" w:eastAsia="Times New Roman" w:hAnsi="Arial" w:cs="Arial"/>
            <w:color w:val="337AB7"/>
            <w:sz w:val="21"/>
            <w:szCs w:val="21"/>
            <w:u w:val="single"/>
          </w:rPr>
          <w:t>gift letters</w:t>
        </w:r>
      </w:hyperlink>
      <w:r w:rsidRPr="00BF19B8">
        <w:rPr>
          <w:rFonts w:ascii="Arial" w:eastAsia="Times New Roman" w:hAnsi="Arial" w:cs="Arial"/>
          <w:color w:val="333333"/>
          <w:sz w:val="21"/>
          <w:szCs w:val="21"/>
        </w:rPr>
        <w:t> from those that gave you the cash gift, stating that the gift was not a loan. They may also ask for itemized deposit slips. The exact amount that triggers this requirement varies by situation (for instance, a $1,000 cash gift may be material to a single borrower that makes $35,000/</w:t>
      </w:r>
      <w:proofErr w:type="spellStart"/>
      <w:r w:rsidRPr="00BF19B8">
        <w:rPr>
          <w:rFonts w:ascii="Arial" w:eastAsia="Times New Roman" w:hAnsi="Arial" w:cs="Arial"/>
          <w:color w:val="333333"/>
          <w:sz w:val="21"/>
          <w:szCs w:val="21"/>
        </w:rPr>
        <w:t>yr</w:t>
      </w:r>
      <w:proofErr w:type="spellEnd"/>
      <w:r w:rsidRPr="00BF19B8">
        <w:rPr>
          <w:rFonts w:ascii="Arial" w:eastAsia="Times New Roman" w:hAnsi="Arial" w:cs="Arial"/>
          <w:color w:val="333333"/>
          <w:sz w:val="21"/>
          <w:szCs w:val="21"/>
        </w:rPr>
        <w:t xml:space="preserve"> but may not be material to a borrower that makes $350,000/</w:t>
      </w:r>
      <w:proofErr w:type="spellStart"/>
      <w:r w:rsidRPr="00BF19B8">
        <w:rPr>
          <w:rFonts w:ascii="Arial" w:eastAsia="Times New Roman" w:hAnsi="Arial" w:cs="Arial"/>
          <w:color w:val="333333"/>
          <w:sz w:val="21"/>
          <w:szCs w:val="21"/>
        </w:rPr>
        <w:t>yr</w:t>
      </w:r>
      <w:proofErr w:type="spellEnd"/>
      <w:r w:rsidRPr="00BF19B8">
        <w:rPr>
          <w:rFonts w:ascii="Arial" w:eastAsia="Times New Roman" w:hAnsi="Arial" w:cs="Arial"/>
          <w:color w:val="333333"/>
          <w:sz w:val="21"/>
          <w:szCs w:val="21"/>
        </w:rPr>
        <w:t>), so it's good practice to ask your lender if you suspect you might have a material cash gift or large deposit - so you aren't surprised by this at the last minute.</w:t>
      </w:r>
    </w:p>
    <w:p w:rsidR="00BF19B8" w:rsidRPr="00BF19B8" w:rsidRDefault="00BF19B8" w:rsidP="00BF19B8">
      <w:pPr>
        <w:numPr>
          <w:ilvl w:val="1"/>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 xml:space="preserve">Repeated and updated documentation of any of the above. Keep in mind: to a lender, anything can happen to a borrower's personal financial situation and credit during the escrow process. Thus, you may be asked more than once for the same type of document so that your lender has the most recent pay stubs, rent receipts, bank statements, or other disclosures that may change over time. Any material changes in these documents -or any element of your personal financial situation- may require the lender to reassess your </w:t>
      </w:r>
      <w:proofErr w:type="spellStart"/>
      <w:r w:rsidRPr="00BF19B8">
        <w:rPr>
          <w:rFonts w:ascii="Arial" w:eastAsia="Times New Roman" w:hAnsi="Arial" w:cs="Arial"/>
          <w:color w:val="333333"/>
          <w:sz w:val="21"/>
          <w:szCs w:val="21"/>
        </w:rPr>
        <w:t>eligability</w:t>
      </w:r>
      <w:proofErr w:type="spellEnd"/>
      <w:r w:rsidRPr="00BF19B8">
        <w:rPr>
          <w:rFonts w:ascii="Arial" w:eastAsia="Times New Roman" w:hAnsi="Arial" w:cs="Arial"/>
          <w:color w:val="333333"/>
          <w:sz w:val="21"/>
          <w:szCs w:val="21"/>
        </w:rPr>
        <w:t xml:space="preserve"> for the loan for which you've applied.</w:t>
      </w:r>
    </w:p>
    <w:p w:rsidR="00BF19B8" w:rsidRPr="00BF19B8" w:rsidRDefault="00BF19B8"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lender renders an approval decision, and if approved, issues a </w:t>
      </w:r>
      <w:hyperlink r:id="rId29" w:history="1">
        <w:r w:rsidRPr="00BF19B8">
          <w:rPr>
            <w:rFonts w:ascii="Arial" w:eastAsia="Times New Roman" w:hAnsi="Arial" w:cs="Arial"/>
            <w:color w:val="337AB7"/>
            <w:sz w:val="21"/>
            <w:szCs w:val="21"/>
            <w:u w:val="single"/>
          </w:rPr>
          <w:t>loan commitment letter</w:t>
        </w:r>
      </w:hyperlink>
      <w:r w:rsidRPr="00BF19B8">
        <w:rPr>
          <w:rFonts w:ascii="Arial" w:eastAsia="Times New Roman" w:hAnsi="Arial" w:cs="Arial"/>
          <w:color w:val="333333"/>
          <w:sz w:val="21"/>
          <w:szCs w:val="21"/>
        </w:rPr>
        <w:t>, stating its willingness to fund the mortgage provided certain conditions are met. These conditions usually include </w:t>
      </w:r>
      <w:hyperlink r:id="rId30" w:history="1">
        <w:r w:rsidRPr="00BF19B8">
          <w:rPr>
            <w:rFonts w:ascii="Arial" w:eastAsia="Times New Roman" w:hAnsi="Arial" w:cs="Arial"/>
            <w:color w:val="337AB7"/>
            <w:sz w:val="21"/>
            <w:szCs w:val="21"/>
            <w:u w:val="single"/>
          </w:rPr>
          <w:t>appraisal</w:t>
        </w:r>
      </w:hyperlink>
      <w:r w:rsidRPr="00BF19B8">
        <w:rPr>
          <w:rFonts w:ascii="Arial" w:eastAsia="Times New Roman" w:hAnsi="Arial" w:cs="Arial"/>
          <w:color w:val="333333"/>
          <w:sz w:val="21"/>
          <w:szCs w:val="21"/>
        </w:rPr>
        <w:t> (so the lender can confirm that the property you're buying isn't worth far less than you're paying) but will also generally include any material change in your situation -or the property- as initially disclosed to your lender.</w:t>
      </w:r>
    </w:p>
    <w:p w:rsidR="00BF19B8" w:rsidRPr="00BF19B8" w:rsidRDefault="00BF19B8"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w:t>
      </w:r>
      <w:hyperlink r:id="rId31" w:history="1">
        <w:r w:rsidRPr="00BF19B8">
          <w:rPr>
            <w:rFonts w:ascii="Arial" w:eastAsia="Times New Roman" w:hAnsi="Arial" w:cs="Arial"/>
            <w:color w:val="337AB7"/>
            <w:sz w:val="21"/>
            <w:szCs w:val="21"/>
            <w:u w:val="single"/>
          </w:rPr>
          <w:t>loan contingency </w:t>
        </w:r>
      </w:hyperlink>
      <w:r w:rsidRPr="00BF19B8">
        <w:rPr>
          <w:rFonts w:ascii="Arial" w:eastAsia="Times New Roman" w:hAnsi="Arial" w:cs="Arial"/>
          <w:color w:val="333333"/>
          <w:sz w:val="21"/>
          <w:szCs w:val="21"/>
        </w:rPr>
        <w:t>must be removed by the buyer by a certain number of days before the closing date (or "close of escrow), otherwise known as the </w:t>
      </w:r>
      <w:hyperlink r:id="rId32" w:history="1">
        <w:r w:rsidRPr="00BF19B8">
          <w:rPr>
            <w:rFonts w:ascii="Arial" w:eastAsia="Times New Roman" w:hAnsi="Arial" w:cs="Arial"/>
            <w:color w:val="337AB7"/>
            <w:sz w:val="21"/>
            <w:szCs w:val="21"/>
            <w:u w:val="single"/>
          </w:rPr>
          <w:t>loan contingency date</w:t>
        </w:r>
      </w:hyperlink>
      <w:r w:rsidRPr="00BF19B8">
        <w:rPr>
          <w:rFonts w:ascii="Arial" w:eastAsia="Times New Roman" w:hAnsi="Arial" w:cs="Arial"/>
          <w:color w:val="333333"/>
          <w:sz w:val="21"/>
          <w:szCs w:val="21"/>
        </w:rPr>
        <w:t xml:space="preserve">. By this </w:t>
      </w:r>
      <w:r w:rsidRPr="00BF19B8">
        <w:rPr>
          <w:rFonts w:ascii="Arial" w:eastAsia="Times New Roman" w:hAnsi="Arial" w:cs="Arial"/>
          <w:color w:val="333333"/>
          <w:sz w:val="21"/>
          <w:szCs w:val="21"/>
        </w:rPr>
        <w:lastRenderedPageBreak/>
        <w:t>date, a buyer must either get a loan commitment or communicate to the seller that they are unable to do so (and walk away from the deal without losing their earnest money).</w:t>
      </w:r>
    </w:p>
    <w:p w:rsidR="00BF19B8" w:rsidRPr="00BF19B8" w:rsidRDefault="00BF19B8"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An </w:t>
      </w:r>
      <w:hyperlink r:id="rId33" w:history="1">
        <w:r w:rsidRPr="00BF19B8">
          <w:rPr>
            <w:rFonts w:ascii="Arial" w:eastAsia="Times New Roman" w:hAnsi="Arial" w:cs="Arial"/>
            <w:color w:val="337AB7"/>
            <w:sz w:val="21"/>
            <w:szCs w:val="21"/>
            <w:u w:val="single"/>
          </w:rPr>
          <w:t>appraisal</w:t>
        </w:r>
      </w:hyperlink>
      <w:r w:rsidRPr="00BF19B8">
        <w:rPr>
          <w:rFonts w:ascii="Arial" w:eastAsia="Times New Roman" w:hAnsi="Arial" w:cs="Arial"/>
          <w:color w:val="333333"/>
          <w:sz w:val="21"/>
          <w:szCs w:val="21"/>
        </w:rPr>
        <w:t xml:space="preserve"> is ordered by the lender or mortgage broker via a central directory of appraisers (often called an Appraisal Management Company or AMC). Choosing a specific appraiser is not possible, but an agent or a mortgage broker can reject an appraiser and ask for a new one. If the appraisal comes in lower than the purchase price, a lender can decline to approve the borrower unless a change is made to the purchase price or the size of the </w:t>
      </w:r>
      <w:proofErr w:type="spellStart"/>
      <w:r w:rsidRPr="00BF19B8">
        <w:rPr>
          <w:rFonts w:ascii="Arial" w:eastAsia="Times New Roman" w:hAnsi="Arial" w:cs="Arial"/>
          <w:color w:val="333333"/>
          <w:sz w:val="21"/>
          <w:szCs w:val="21"/>
        </w:rPr>
        <w:t>downpayment</w:t>
      </w:r>
      <w:proofErr w:type="spellEnd"/>
      <w:r w:rsidRPr="00BF19B8">
        <w:rPr>
          <w:rFonts w:ascii="Arial" w:eastAsia="Times New Roman" w:hAnsi="Arial" w:cs="Arial"/>
          <w:color w:val="333333"/>
          <w:sz w:val="21"/>
          <w:szCs w:val="21"/>
        </w:rPr>
        <w:t>. Most contracts will have an </w:t>
      </w:r>
      <w:hyperlink r:id="rId34" w:history="1">
        <w:r w:rsidRPr="00BF19B8">
          <w:rPr>
            <w:rFonts w:ascii="Arial" w:eastAsia="Times New Roman" w:hAnsi="Arial" w:cs="Arial"/>
            <w:color w:val="337AB7"/>
            <w:sz w:val="21"/>
            <w:szCs w:val="21"/>
            <w:u w:val="single"/>
          </w:rPr>
          <w:t>appraisal contingency</w:t>
        </w:r>
      </w:hyperlink>
      <w:r w:rsidRPr="00BF19B8">
        <w:rPr>
          <w:rFonts w:ascii="Arial" w:eastAsia="Times New Roman" w:hAnsi="Arial" w:cs="Arial"/>
          <w:color w:val="333333"/>
          <w:sz w:val="21"/>
          <w:szCs w:val="21"/>
        </w:rPr>
        <w:t> clause allowing for cancellation (with no penalty) due to issues with an appraisal coming in too low.</w:t>
      </w:r>
    </w:p>
    <w:p w:rsidR="00BF19B8" w:rsidRPr="00BF19B8" w:rsidRDefault="00BF19B8"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lender typically submits a </w:t>
      </w:r>
      <w:hyperlink r:id="rId35" w:history="1">
        <w:r w:rsidRPr="00BF19B8">
          <w:rPr>
            <w:rFonts w:ascii="Arial" w:eastAsia="Times New Roman" w:hAnsi="Arial" w:cs="Arial"/>
            <w:color w:val="337AB7"/>
            <w:sz w:val="21"/>
            <w:szCs w:val="21"/>
            <w:u w:val="single"/>
          </w:rPr>
          <w:t>request for title commitment </w:t>
        </w:r>
      </w:hyperlink>
      <w:r w:rsidRPr="00BF19B8">
        <w:rPr>
          <w:rFonts w:ascii="Arial" w:eastAsia="Times New Roman" w:hAnsi="Arial" w:cs="Arial"/>
          <w:color w:val="333333"/>
          <w:sz w:val="21"/>
          <w:szCs w:val="21"/>
        </w:rPr>
        <w:t>to a </w:t>
      </w:r>
      <w:hyperlink r:id="rId36" w:history="1">
        <w:r w:rsidRPr="00BF19B8">
          <w:rPr>
            <w:rFonts w:ascii="Arial" w:eastAsia="Times New Roman" w:hAnsi="Arial" w:cs="Arial"/>
            <w:color w:val="337AB7"/>
            <w:sz w:val="21"/>
            <w:szCs w:val="21"/>
            <w:u w:val="single"/>
          </w:rPr>
          <w:t>title company</w:t>
        </w:r>
      </w:hyperlink>
      <w:r w:rsidRPr="00BF19B8">
        <w:rPr>
          <w:rFonts w:ascii="Arial" w:eastAsia="Times New Roman" w:hAnsi="Arial" w:cs="Arial"/>
          <w:color w:val="333333"/>
          <w:sz w:val="21"/>
          <w:szCs w:val="21"/>
        </w:rPr>
        <w:t>. The title company then examines the quality of the title and any findings from the </w:t>
      </w:r>
      <w:hyperlink r:id="rId37" w:history="1">
        <w:r w:rsidRPr="00BF19B8">
          <w:rPr>
            <w:rFonts w:ascii="Arial" w:eastAsia="Times New Roman" w:hAnsi="Arial" w:cs="Arial"/>
            <w:color w:val="337AB7"/>
            <w:sz w:val="21"/>
            <w:szCs w:val="21"/>
            <w:u w:val="single"/>
          </w:rPr>
          <w:t xml:space="preserve">property </w:t>
        </w:r>
        <w:proofErr w:type="spellStart"/>
        <w:r w:rsidRPr="00BF19B8">
          <w:rPr>
            <w:rFonts w:ascii="Arial" w:eastAsia="Times New Roman" w:hAnsi="Arial" w:cs="Arial"/>
            <w:color w:val="337AB7"/>
            <w:sz w:val="21"/>
            <w:szCs w:val="21"/>
            <w:u w:val="single"/>
          </w:rPr>
          <w:t>survey</w:t>
        </w:r>
      </w:hyperlink>
      <w:r w:rsidRPr="00BF19B8">
        <w:rPr>
          <w:rFonts w:ascii="Arial" w:eastAsia="Times New Roman" w:hAnsi="Arial" w:cs="Arial"/>
          <w:color w:val="333333"/>
          <w:sz w:val="21"/>
          <w:szCs w:val="21"/>
        </w:rPr>
        <w:t>that</w:t>
      </w:r>
      <w:proofErr w:type="spellEnd"/>
      <w:r w:rsidRPr="00BF19B8">
        <w:rPr>
          <w:rFonts w:ascii="Arial" w:eastAsia="Times New Roman" w:hAnsi="Arial" w:cs="Arial"/>
          <w:color w:val="333333"/>
          <w:sz w:val="21"/>
          <w:szCs w:val="21"/>
        </w:rPr>
        <w:t xml:space="preserve"> is provided (if none exists, it will have to be performed). If all is well, a </w:t>
      </w:r>
      <w:hyperlink r:id="rId38" w:history="1">
        <w:r w:rsidRPr="00BF19B8">
          <w:rPr>
            <w:rFonts w:ascii="Arial" w:eastAsia="Times New Roman" w:hAnsi="Arial" w:cs="Arial"/>
            <w:color w:val="337AB7"/>
            <w:sz w:val="21"/>
            <w:szCs w:val="21"/>
            <w:u w:val="single"/>
          </w:rPr>
          <w:t>title commitment </w:t>
        </w:r>
      </w:hyperlink>
      <w:r w:rsidRPr="00BF19B8">
        <w:rPr>
          <w:rFonts w:ascii="Arial" w:eastAsia="Times New Roman" w:hAnsi="Arial" w:cs="Arial"/>
          <w:color w:val="333333"/>
          <w:sz w:val="21"/>
          <w:szCs w:val="21"/>
        </w:rPr>
        <w:t>will be prepared that certifies that the title is free and clear and ready for sale. </w:t>
      </w:r>
      <w:hyperlink r:id="rId39" w:history="1">
        <w:r w:rsidRPr="00BF19B8">
          <w:rPr>
            <w:rFonts w:ascii="Arial" w:eastAsia="Times New Roman" w:hAnsi="Arial" w:cs="Arial"/>
            <w:color w:val="337AB7"/>
            <w:sz w:val="21"/>
            <w:szCs w:val="21"/>
            <w:u w:val="single"/>
          </w:rPr>
          <w:t>Title insurance</w:t>
        </w:r>
      </w:hyperlink>
      <w:r w:rsidRPr="00BF19B8">
        <w:rPr>
          <w:rFonts w:ascii="Arial" w:eastAsia="Times New Roman" w:hAnsi="Arial" w:cs="Arial"/>
          <w:color w:val="333333"/>
          <w:sz w:val="21"/>
          <w:szCs w:val="21"/>
        </w:rPr>
        <w:t> may also be arranged in this step.</w:t>
      </w:r>
    </w:p>
    <w:p w:rsidR="00BF19B8" w:rsidRPr="00BF19B8" w:rsidRDefault="0092214C"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hyperlink r:id="rId40" w:history="1">
        <w:r w:rsidR="00BF19B8" w:rsidRPr="00BF19B8">
          <w:rPr>
            <w:rFonts w:ascii="Arial" w:eastAsia="Times New Roman" w:hAnsi="Arial" w:cs="Arial"/>
            <w:color w:val="337AB7"/>
            <w:sz w:val="21"/>
            <w:szCs w:val="21"/>
            <w:u w:val="single"/>
          </w:rPr>
          <w:t>Homeowners' insurance</w:t>
        </w:r>
      </w:hyperlink>
      <w:r w:rsidR="00BF19B8" w:rsidRPr="00BF19B8">
        <w:rPr>
          <w:rFonts w:ascii="Arial" w:eastAsia="Times New Roman" w:hAnsi="Arial" w:cs="Arial"/>
          <w:color w:val="333333"/>
          <w:sz w:val="21"/>
          <w:szCs w:val="21"/>
        </w:rPr>
        <w:t> is purchased (or substantiated, if the property being purchased includes homeowners' insurance as part of association fees or similar arrangements), and </w:t>
      </w:r>
      <w:hyperlink r:id="rId41" w:history="1">
        <w:r w:rsidR="00BF19B8" w:rsidRPr="00BF19B8">
          <w:rPr>
            <w:rFonts w:ascii="Arial" w:eastAsia="Times New Roman" w:hAnsi="Arial" w:cs="Arial"/>
            <w:color w:val="337AB7"/>
            <w:sz w:val="21"/>
            <w:szCs w:val="21"/>
            <w:u w:val="single"/>
          </w:rPr>
          <w:t>proof of homeowners' insurance</w:t>
        </w:r>
      </w:hyperlink>
      <w:r w:rsidR="00BF19B8" w:rsidRPr="00BF19B8">
        <w:rPr>
          <w:rFonts w:ascii="Arial" w:eastAsia="Times New Roman" w:hAnsi="Arial" w:cs="Arial"/>
          <w:color w:val="333333"/>
          <w:sz w:val="21"/>
          <w:szCs w:val="21"/>
        </w:rPr>
        <w:t> is submitted to the lender.</w:t>
      </w:r>
    </w:p>
    <w:p w:rsidR="00BF19B8" w:rsidRPr="00BF19B8" w:rsidRDefault="0092214C" w:rsidP="00BF19B8">
      <w:pPr>
        <w:numPr>
          <w:ilvl w:val="0"/>
          <w:numId w:val="3"/>
        </w:numPr>
        <w:shd w:val="clear" w:color="auto" w:fill="FFFFFF"/>
        <w:spacing w:before="100" w:beforeAutospacing="1" w:after="100" w:afterAutospacing="1" w:line="360" w:lineRule="atLeast"/>
        <w:rPr>
          <w:rFonts w:ascii="Arial" w:eastAsia="Times New Roman" w:hAnsi="Arial" w:cs="Arial"/>
          <w:color w:val="333333"/>
          <w:sz w:val="21"/>
          <w:szCs w:val="21"/>
        </w:rPr>
      </w:pPr>
      <w:hyperlink r:id="rId42" w:history="1">
        <w:r w:rsidR="00BF19B8" w:rsidRPr="00BF19B8">
          <w:rPr>
            <w:rFonts w:ascii="Arial" w:eastAsia="Times New Roman" w:hAnsi="Arial" w:cs="Arial"/>
            <w:color w:val="337AB7"/>
            <w:sz w:val="21"/>
            <w:szCs w:val="21"/>
            <w:u w:val="single"/>
          </w:rPr>
          <w:t>Hazard insurance</w:t>
        </w:r>
      </w:hyperlink>
      <w:r w:rsidR="00BF19B8" w:rsidRPr="00BF19B8">
        <w:rPr>
          <w:rFonts w:ascii="Arial" w:eastAsia="Times New Roman" w:hAnsi="Arial" w:cs="Arial"/>
          <w:color w:val="333333"/>
          <w:sz w:val="21"/>
          <w:szCs w:val="21"/>
        </w:rPr>
        <w:t> may be required by the lender to protect the asset from fire and storms. If the property is located on a flood plain, then </w:t>
      </w:r>
      <w:hyperlink r:id="rId43" w:history="1">
        <w:r w:rsidR="00BF19B8" w:rsidRPr="00BF19B8">
          <w:rPr>
            <w:rFonts w:ascii="Arial" w:eastAsia="Times New Roman" w:hAnsi="Arial" w:cs="Arial"/>
            <w:color w:val="337AB7"/>
            <w:sz w:val="21"/>
            <w:szCs w:val="21"/>
            <w:u w:val="single"/>
          </w:rPr>
          <w:t>flood insurance</w:t>
        </w:r>
      </w:hyperlink>
      <w:r w:rsidR="00BF19B8" w:rsidRPr="00BF19B8">
        <w:rPr>
          <w:rFonts w:ascii="Arial" w:eastAsia="Times New Roman" w:hAnsi="Arial" w:cs="Arial"/>
          <w:color w:val="333333"/>
          <w:sz w:val="21"/>
          <w:szCs w:val="21"/>
        </w:rPr>
        <w:t> may be necessary as well.</w:t>
      </w:r>
      <w:r w:rsidR="00BF19B8" w:rsidRPr="00BF19B8">
        <w:rPr>
          <w:rFonts w:ascii="Arial" w:eastAsia="Times New Roman" w:hAnsi="Arial" w:cs="Arial"/>
          <w:color w:val="333333"/>
          <w:sz w:val="21"/>
          <w:szCs w:val="21"/>
        </w:rPr>
        <w:br/>
        <w:t xml:space="preserve">Tip: As this process can be long, arduous, seemingly arbitrary, and is often critical to your </w:t>
      </w:r>
      <w:proofErr w:type="spellStart"/>
      <w:r w:rsidR="00BF19B8" w:rsidRPr="00BF19B8">
        <w:rPr>
          <w:rFonts w:ascii="Arial" w:eastAsia="Times New Roman" w:hAnsi="Arial" w:cs="Arial"/>
          <w:color w:val="333333"/>
          <w:sz w:val="21"/>
          <w:szCs w:val="21"/>
        </w:rPr>
        <w:t>homebuying</w:t>
      </w:r>
      <w:proofErr w:type="spellEnd"/>
      <w:r w:rsidR="00BF19B8" w:rsidRPr="00BF19B8">
        <w:rPr>
          <w:rFonts w:ascii="Arial" w:eastAsia="Times New Roman" w:hAnsi="Arial" w:cs="Arial"/>
          <w:color w:val="333333"/>
          <w:sz w:val="21"/>
          <w:szCs w:val="21"/>
        </w:rPr>
        <w:t xml:space="preserve"> transaction, try to prepare these documents (or at least figure out how to prepare them) in advance. Also, do not make any changes to your employment or credit until your transaction is complete (not just until you get a loan commitment letter). This means not switching employers even if it results in a higher income, as counterintuitive as that may sound. It also means not leasing or financing a car, opening a new credit card account, or anything else that can affect your credit report.</w:t>
      </w:r>
    </w:p>
    <w:p w:rsidR="00BF19B8" w:rsidRPr="00BF19B8" w:rsidRDefault="00BF19B8" w:rsidP="00BF19B8">
      <w:pPr>
        <w:shd w:val="clear" w:color="auto" w:fill="FFFFFF"/>
        <w:spacing w:before="300" w:after="75" w:line="240" w:lineRule="auto"/>
        <w:outlineLvl w:val="2"/>
        <w:rPr>
          <w:rFonts w:ascii="Arial" w:eastAsia="Times New Roman" w:hAnsi="Arial" w:cs="Arial"/>
          <w:color w:val="333333"/>
          <w:sz w:val="27"/>
          <w:szCs w:val="27"/>
        </w:rPr>
      </w:pPr>
      <w:r w:rsidRPr="00BF19B8">
        <w:rPr>
          <w:rFonts w:ascii="Arial" w:eastAsia="Times New Roman" w:hAnsi="Arial" w:cs="Arial"/>
          <w:color w:val="333333"/>
          <w:sz w:val="27"/>
          <w:szCs w:val="27"/>
        </w:rPr>
        <w:t>Part 3: The closing itself</w:t>
      </w:r>
    </w:p>
    <w:p w:rsidR="00BF19B8" w:rsidRPr="00BF19B8" w:rsidRDefault="00BF19B8" w:rsidP="00BF19B8">
      <w:pPr>
        <w:shd w:val="clear" w:color="auto" w:fill="FFFFFF"/>
        <w:spacing w:after="150"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closing process itself can span a couple of days or even a week, and in contrast to </w:t>
      </w:r>
      <w:hyperlink r:id="rId44" w:history="1">
        <w:r w:rsidRPr="00BF19B8">
          <w:rPr>
            <w:rFonts w:ascii="Arial" w:eastAsia="Times New Roman" w:hAnsi="Arial" w:cs="Arial"/>
            <w:color w:val="337AB7"/>
            <w:sz w:val="21"/>
            <w:szCs w:val="21"/>
            <w:u w:val="single"/>
          </w:rPr>
          <w:t>attorney review states</w:t>
        </w:r>
      </w:hyperlink>
      <w:r w:rsidRPr="00BF19B8">
        <w:rPr>
          <w:rFonts w:ascii="Arial" w:eastAsia="Times New Roman" w:hAnsi="Arial" w:cs="Arial"/>
          <w:color w:val="333333"/>
          <w:sz w:val="21"/>
          <w:szCs w:val="21"/>
        </w:rPr>
        <w:t>, the transaction is generally not consummated with all parties sitting at the same table. In Arizona, an </w:t>
      </w:r>
      <w:hyperlink r:id="rId45" w:history="1">
        <w:r w:rsidRPr="00BF19B8">
          <w:rPr>
            <w:rFonts w:ascii="Arial" w:eastAsia="Times New Roman" w:hAnsi="Arial" w:cs="Arial"/>
            <w:color w:val="337AB7"/>
            <w:sz w:val="21"/>
            <w:szCs w:val="21"/>
            <w:u w:val="single"/>
          </w:rPr>
          <w:t>escrow state</w:t>
        </w:r>
      </w:hyperlink>
      <w:r w:rsidRPr="00BF19B8">
        <w:rPr>
          <w:rFonts w:ascii="Arial" w:eastAsia="Times New Roman" w:hAnsi="Arial" w:cs="Arial"/>
          <w:color w:val="333333"/>
          <w:sz w:val="21"/>
          <w:szCs w:val="21"/>
        </w:rPr>
        <w:t>, closing consists of the following steps:</w:t>
      </w:r>
    </w:p>
    <w:p w:rsidR="00BF19B8" w:rsidRPr="00BF19B8" w:rsidRDefault="00BF19B8" w:rsidP="00BF19B8">
      <w:pPr>
        <w:numPr>
          <w:ilvl w:val="0"/>
          <w:numId w:val="4"/>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A buyer's lender sends final loan documents to the escrow agent and the final closing date is scheduled.</w:t>
      </w:r>
    </w:p>
    <w:p w:rsidR="00BF19B8" w:rsidRPr="00BF19B8" w:rsidRDefault="00BF19B8" w:rsidP="00BF19B8">
      <w:pPr>
        <w:numPr>
          <w:ilvl w:val="0"/>
          <w:numId w:val="4"/>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closing itself convenes at the office of an </w:t>
      </w:r>
      <w:hyperlink r:id="rId46" w:history="1">
        <w:r w:rsidRPr="00BF19B8">
          <w:rPr>
            <w:rFonts w:ascii="Arial" w:eastAsia="Times New Roman" w:hAnsi="Arial" w:cs="Arial"/>
            <w:color w:val="337AB7"/>
            <w:sz w:val="21"/>
            <w:szCs w:val="21"/>
            <w:u w:val="single"/>
          </w:rPr>
          <w:t>escrow agent</w:t>
        </w:r>
      </w:hyperlink>
      <w:r w:rsidRPr="00BF19B8">
        <w:rPr>
          <w:rFonts w:ascii="Arial" w:eastAsia="Times New Roman" w:hAnsi="Arial" w:cs="Arial"/>
          <w:color w:val="333333"/>
          <w:sz w:val="21"/>
          <w:szCs w:val="21"/>
        </w:rPr>
        <w:t>, </w:t>
      </w:r>
      <w:hyperlink r:id="rId47" w:history="1">
        <w:r w:rsidRPr="00BF19B8">
          <w:rPr>
            <w:rFonts w:ascii="Arial" w:eastAsia="Times New Roman" w:hAnsi="Arial" w:cs="Arial"/>
            <w:color w:val="337AB7"/>
            <w:sz w:val="21"/>
            <w:szCs w:val="21"/>
            <w:u w:val="single"/>
          </w:rPr>
          <w:t>closing agent</w:t>
        </w:r>
      </w:hyperlink>
      <w:r w:rsidRPr="00BF19B8">
        <w:rPr>
          <w:rFonts w:ascii="Arial" w:eastAsia="Times New Roman" w:hAnsi="Arial" w:cs="Arial"/>
          <w:color w:val="333333"/>
          <w:sz w:val="21"/>
          <w:szCs w:val="21"/>
        </w:rPr>
        <w:t>, or </w:t>
      </w:r>
      <w:hyperlink r:id="rId48" w:history="1">
        <w:r w:rsidRPr="00BF19B8">
          <w:rPr>
            <w:rFonts w:ascii="Arial" w:eastAsia="Times New Roman" w:hAnsi="Arial" w:cs="Arial"/>
            <w:color w:val="337AB7"/>
            <w:sz w:val="21"/>
            <w:szCs w:val="21"/>
            <w:u w:val="single"/>
          </w:rPr>
          <w:t>title company</w:t>
        </w:r>
      </w:hyperlink>
      <w:r w:rsidRPr="00BF19B8">
        <w:rPr>
          <w:rFonts w:ascii="Arial" w:eastAsia="Times New Roman" w:hAnsi="Arial" w:cs="Arial"/>
          <w:color w:val="333333"/>
          <w:sz w:val="21"/>
          <w:szCs w:val="21"/>
        </w:rPr>
        <w:t>. The seller generally signs their closing documents first.</w:t>
      </w:r>
    </w:p>
    <w:p w:rsidR="00BF19B8" w:rsidRPr="00BF19B8" w:rsidRDefault="00BF19B8" w:rsidP="00BF19B8">
      <w:pPr>
        <w:numPr>
          <w:ilvl w:val="0"/>
          <w:numId w:val="4"/>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lastRenderedPageBreak/>
        <w:t>The buyer then signs all closing documents, including the </w:t>
      </w:r>
      <w:hyperlink r:id="rId49" w:history="1">
        <w:r w:rsidRPr="00BF19B8">
          <w:rPr>
            <w:rFonts w:ascii="Arial" w:eastAsia="Times New Roman" w:hAnsi="Arial" w:cs="Arial"/>
            <w:color w:val="337AB7"/>
            <w:sz w:val="21"/>
            <w:szCs w:val="21"/>
            <w:u w:val="single"/>
          </w:rPr>
          <w:t>HUD-1</w:t>
        </w:r>
      </w:hyperlink>
      <w:r w:rsidRPr="00BF19B8">
        <w:rPr>
          <w:rFonts w:ascii="Arial" w:eastAsia="Times New Roman" w:hAnsi="Arial" w:cs="Arial"/>
          <w:color w:val="333333"/>
          <w:sz w:val="21"/>
          <w:szCs w:val="21"/>
        </w:rPr>
        <w:t> </w:t>
      </w:r>
      <w:hyperlink r:id="rId50" w:history="1">
        <w:r w:rsidRPr="00BF19B8">
          <w:rPr>
            <w:rFonts w:ascii="Arial" w:eastAsia="Times New Roman" w:hAnsi="Arial" w:cs="Arial"/>
            <w:color w:val="337AB7"/>
            <w:sz w:val="21"/>
            <w:szCs w:val="21"/>
            <w:u w:val="single"/>
          </w:rPr>
          <w:t>(see a sample HUD-1 here)</w:t>
        </w:r>
      </w:hyperlink>
      <w:r w:rsidRPr="00BF19B8">
        <w:rPr>
          <w:rFonts w:ascii="Arial" w:eastAsia="Times New Roman" w:hAnsi="Arial" w:cs="Arial"/>
          <w:color w:val="333333"/>
          <w:sz w:val="21"/>
          <w:szCs w:val="21"/>
        </w:rPr>
        <w:t>, and the final loan documents.</w:t>
      </w:r>
    </w:p>
    <w:p w:rsidR="00BF19B8" w:rsidRPr="00BF19B8" w:rsidRDefault="00BF19B8" w:rsidP="00BF19B8">
      <w:pPr>
        <w:numPr>
          <w:ilvl w:val="0"/>
          <w:numId w:val="4"/>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 xml:space="preserve">The buyer pays the remaining funds for their </w:t>
      </w:r>
      <w:proofErr w:type="spellStart"/>
      <w:r w:rsidRPr="00BF19B8">
        <w:rPr>
          <w:rFonts w:ascii="Arial" w:eastAsia="Times New Roman" w:hAnsi="Arial" w:cs="Arial"/>
          <w:color w:val="333333"/>
          <w:sz w:val="21"/>
          <w:szCs w:val="21"/>
        </w:rPr>
        <w:t>downpayment</w:t>
      </w:r>
      <w:proofErr w:type="spellEnd"/>
      <w:r w:rsidRPr="00BF19B8">
        <w:rPr>
          <w:rFonts w:ascii="Arial" w:eastAsia="Times New Roman" w:hAnsi="Arial" w:cs="Arial"/>
          <w:color w:val="333333"/>
          <w:sz w:val="21"/>
          <w:szCs w:val="21"/>
        </w:rPr>
        <w:t xml:space="preserve"> and closing costs to either the escrow agent, closing agent, or representative of the title company (via wire transfer cashier's check). This may also be done a few days in advance to speed along the closing process.</w:t>
      </w:r>
    </w:p>
    <w:p w:rsidR="00BF19B8" w:rsidRPr="00BF19B8" w:rsidRDefault="00BF19B8" w:rsidP="00BF19B8">
      <w:pPr>
        <w:numPr>
          <w:ilvl w:val="0"/>
          <w:numId w:val="4"/>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deed gets recorded with the appropriate municipality and the transaction is complete.</w:t>
      </w:r>
    </w:p>
    <w:p w:rsidR="00BF19B8" w:rsidRPr="00BF19B8" w:rsidRDefault="00BF19B8" w:rsidP="00BF19B8">
      <w:pPr>
        <w:numPr>
          <w:ilvl w:val="0"/>
          <w:numId w:val="4"/>
        </w:numPr>
        <w:shd w:val="clear" w:color="auto" w:fill="FFFFFF"/>
        <w:spacing w:before="100" w:beforeAutospacing="1" w:after="100" w:afterAutospacing="1" w:line="360" w:lineRule="atLeast"/>
        <w:rPr>
          <w:rFonts w:ascii="Arial" w:eastAsia="Times New Roman" w:hAnsi="Arial" w:cs="Arial"/>
          <w:color w:val="333333"/>
          <w:sz w:val="21"/>
          <w:szCs w:val="21"/>
        </w:rPr>
      </w:pPr>
      <w:r w:rsidRPr="00BF19B8">
        <w:rPr>
          <w:rFonts w:ascii="Arial" w:eastAsia="Times New Roman" w:hAnsi="Arial" w:cs="Arial"/>
          <w:color w:val="333333"/>
          <w:sz w:val="21"/>
          <w:szCs w:val="21"/>
        </w:rPr>
        <w:t>The buyer receives the keys and, unless indicated differently in the contract, officially takes possession of the property.</w:t>
      </w:r>
    </w:p>
    <w:p w:rsidR="003D2781" w:rsidRDefault="003D2781"/>
    <w:sectPr w:rsidR="003D2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1CA9"/>
    <w:multiLevelType w:val="multilevel"/>
    <w:tmpl w:val="8536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C42150"/>
    <w:multiLevelType w:val="multilevel"/>
    <w:tmpl w:val="6A62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7A7A2E"/>
    <w:multiLevelType w:val="multilevel"/>
    <w:tmpl w:val="1936A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5D6A49"/>
    <w:multiLevelType w:val="multilevel"/>
    <w:tmpl w:val="767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B8"/>
    <w:rsid w:val="003D2781"/>
    <w:rsid w:val="0092214C"/>
    <w:rsid w:val="00B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9D56D-972B-4B9C-AD15-E1E984BC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7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itree.com/articles/36/escrow-agent" TargetMode="External"/><Relationship Id="rId18" Type="http://schemas.openxmlformats.org/officeDocument/2006/relationships/hyperlink" Target="https://www.amitree.com/articles/54/home-inspector" TargetMode="External"/><Relationship Id="rId26" Type="http://schemas.openxmlformats.org/officeDocument/2006/relationships/hyperlink" Target="https://www.amitree.com/articles/82/personal-financial-disclosures" TargetMode="External"/><Relationship Id="rId39" Type="http://schemas.openxmlformats.org/officeDocument/2006/relationships/hyperlink" Target="https://www.amitree.com/articles/112/title-insurance" TargetMode="External"/><Relationship Id="rId3" Type="http://schemas.openxmlformats.org/officeDocument/2006/relationships/settings" Target="settings.xml"/><Relationship Id="rId21" Type="http://schemas.openxmlformats.org/officeDocument/2006/relationships/hyperlink" Target="https://www.amitree.com/articles/69/loan-application" TargetMode="External"/><Relationship Id="rId34" Type="http://schemas.openxmlformats.org/officeDocument/2006/relationships/hyperlink" Target="https://www.amitree.com/articles/7/appraisal-contingency" TargetMode="External"/><Relationship Id="rId42" Type="http://schemas.openxmlformats.org/officeDocument/2006/relationships/hyperlink" Target="https://www.amitree.com/articles/52/hazard-insurance" TargetMode="External"/><Relationship Id="rId47" Type="http://schemas.openxmlformats.org/officeDocument/2006/relationships/hyperlink" Target="https://www.amitree.com/articles/18/closing-agent" TargetMode="External"/><Relationship Id="rId50" Type="http://schemas.openxmlformats.org/officeDocument/2006/relationships/hyperlink" Target="http://www.hud.gov/offices/adm/hudclips/forms/files/1.pdf" TargetMode="External"/><Relationship Id="rId7" Type="http://schemas.openxmlformats.org/officeDocument/2006/relationships/hyperlink" Target="https://www.amitree.com/articles/18/closing-agent" TargetMode="External"/><Relationship Id="rId12" Type="http://schemas.openxmlformats.org/officeDocument/2006/relationships/hyperlink" Target="https://www.amitree.com/articles/32/earnest-money" TargetMode="External"/><Relationship Id="rId17" Type="http://schemas.openxmlformats.org/officeDocument/2006/relationships/hyperlink" Target="https://www.amitree.com/articles/63/inspection-period" TargetMode="External"/><Relationship Id="rId25" Type="http://schemas.openxmlformats.org/officeDocument/2006/relationships/hyperlink" Target="http://www.hud.gov/offices/hsg/rmra/res/gfestimate.pdf" TargetMode="External"/><Relationship Id="rId33" Type="http://schemas.openxmlformats.org/officeDocument/2006/relationships/hyperlink" Target="https://www.amitree.com/articles/6/appraisal" TargetMode="External"/><Relationship Id="rId38" Type="http://schemas.openxmlformats.org/officeDocument/2006/relationships/hyperlink" Target="https://www.amitree.com/articles/110/title-commitment" TargetMode="External"/><Relationship Id="rId46" Type="http://schemas.openxmlformats.org/officeDocument/2006/relationships/hyperlink" Target="https://www.amitree.com/articles/36/escrow-agent" TargetMode="External"/><Relationship Id="rId2" Type="http://schemas.openxmlformats.org/officeDocument/2006/relationships/styles" Target="styles.xml"/><Relationship Id="rId16" Type="http://schemas.openxmlformats.org/officeDocument/2006/relationships/hyperlink" Target="https://www.amitree.com/articles/57/inspection" TargetMode="External"/><Relationship Id="rId20" Type="http://schemas.openxmlformats.org/officeDocument/2006/relationships/hyperlink" Target="https://www.amitree.com/articles/20/credits" TargetMode="External"/><Relationship Id="rId29" Type="http://schemas.openxmlformats.org/officeDocument/2006/relationships/hyperlink" Target="https://www.amitree.com/articles/70/loan-commitment-letter" TargetMode="External"/><Relationship Id="rId41" Type="http://schemas.openxmlformats.org/officeDocument/2006/relationships/hyperlink" Target="https://www.amitree.com/articles/87/proof-of-homeowners-insurance" TargetMode="External"/><Relationship Id="rId1" Type="http://schemas.openxmlformats.org/officeDocument/2006/relationships/numbering" Target="numbering.xml"/><Relationship Id="rId6" Type="http://schemas.openxmlformats.org/officeDocument/2006/relationships/hyperlink" Target="https://www.amitree.com/articles/36/escrow-agent" TargetMode="External"/><Relationship Id="rId11" Type="http://schemas.openxmlformats.org/officeDocument/2006/relationships/hyperlink" Target="https://www.amitree.com/articles/37/escrow-process" TargetMode="External"/><Relationship Id="rId24" Type="http://schemas.openxmlformats.org/officeDocument/2006/relationships/hyperlink" Target="https://www.amitree.com/articles/51/good-faith-estimate-gfe" TargetMode="External"/><Relationship Id="rId32" Type="http://schemas.openxmlformats.org/officeDocument/2006/relationships/hyperlink" Target="https://www.amitree.com/articles/73/loan-contingency-date" TargetMode="External"/><Relationship Id="rId37" Type="http://schemas.openxmlformats.org/officeDocument/2006/relationships/hyperlink" Target="https://www.amitree.com/articles/89/property-survey" TargetMode="External"/><Relationship Id="rId40" Type="http://schemas.openxmlformats.org/officeDocument/2006/relationships/hyperlink" Target="https://www.amitree.com/articles/56/homeowners-insurance" TargetMode="External"/><Relationship Id="rId45" Type="http://schemas.openxmlformats.org/officeDocument/2006/relationships/hyperlink" Target="https://www.amitree.com/articles/38/escrow-state" TargetMode="External"/><Relationship Id="rId5" Type="http://schemas.openxmlformats.org/officeDocument/2006/relationships/image" Target="media/image1.jpg"/><Relationship Id="rId15" Type="http://schemas.openxmlformats.org/officeDocument/2006/relationships/hyperlink" Target="http://www.aaronline.com/wp-content/uploads/2013/01/seller-property-disclosure-statement.pdf" TargetMode="External"/><Relationship Id="rId23" Type="http://schemas.openxmlformats.org/officeDocument/2006/relationships/hyperlink" Target="https://www.dropbox.com/s/l2k28519iz1miug/loanappinteractive.pdf" TargetMode="External"/><Relationship Id="rId28" Type="http://schemas.openxmlformats.org/officeDocument/2006/relationships/hyperlink" Target="https://www.amitree.com/articles/50/gift-letters" TargetMode="External"/><Relationship Id="rId36" Type="http://schemas.openxmlformats.org/officeDocument/2006/relationships/hyperlink" Target="https://www.amitree.com/articles/111/title-company" TargetMode="External"/><Relationship Id="rId49" Type="http://schemas.openxmlformats.org/officeDocument/2006/relationships/hyperlink" Target="https://www.amitree.com/articles/117/hud-1" TargetMode="External"/><Relationship Id="rId10" Type="http://schemas.openxmlformats.org/officeDocument/2006/relationships/hyperlink" Target="https://www.amitree.com/articles/108/termite-inspection" TargetMode="External"/><Relationship Id="rId19" Type="http://schemas.openxmlformats.org/officeDocument/2006/relationships/hyperlink" Target="https://www.amitree.com/articles/108/termite-inspection" TargetMode="External"/><Relationship Id="rId31" Type="http://schemas.openxmlformats.org/officeDocument/2006/relationships/hyperlink" Target="https://www.amitree.com/articles/72/loan-contingency" TargetMode="External"/><Relationship Id="rId44" Type="http://schemas.openxmlformats.org/officeDocument/2006/relationships/hyperlink" Target="https://www.amitree.com/articles/11/attorney-review-stat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itree.com/articles/36/escrow-agent" TargetMode="External"/><Relationship Id="rId14" Type="http://schemas.openxmlformats.org/officeDocument/2006/relationships/hyperlink" Target="https://www.amitree.com/articles/24/disclosures" TargetMode="External"/><Relationship Id="rId22" Type="http://schemas.openxmlformats.org/officeDocument/2006/relationships/hyperlink" Target="https://www.amitree.com/articles/78/mortgage-broker" TargetMode="External"/><Relationship Id="rId27" Type="http://schemas.openxmlformats.org/officeDocument/2006/relationships/hyperlink" Target="http://www.irs.gov/uac/About-Form-4506T" TargetMode="External"/><Relationship Id="rId30" Type="http://schemas.openxmlformats.org/officeDocument/2006/relationships/hyperlink" Target="https://www.amitree.com/articles/6/appraisal" TargetMode="External"/><Relationship Id="rId35" Type="http://schemas.openxmlformats.org/officeDocument/2006/relationships/hyperlink" Target="https://www.amitree.com/articles/95/request-for-title-commitment" TargetMode="External"/><Relationship Id="rId43" Type="http://schemas.openxmlformats.org/officeDocument/2006/relationships/hyperlink" Target="https://www.amitree.com/articles/52/hazard-insurance" TargetMode="External"/><Relationship Id="rId48" Type="http://schemas.openxmlformats.org/officeDocument/2006/relationships/hyperlink" Target="https://www.amitree.com/articles/111/title-company" TargetMode="External"/><Relationship Id="rId8" Type="http://schemas.openxmlformats.org/officeDocument/2006/relationships/hyperlink" Target="https://www.amitree.com/articles/111/title-company"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Trayte</dc:creator>
  <cp:keywords/>
  <dc:description/>
  <cp:lastModifiedBy>Lyn Trayte</cp:lastModifiedBy>
  <cp:revision>2</cp:revision>
  <dcterms:created xsi:type="dcterms:W3CDTF">2018-06-15T15:20:00Z</dcterms:created>
  <dcterms:modified xsi:type="dcterms:W3CDTF">2018-06-21T16:21:00Z</dcterms:modified>
</cp:coreProperties>
</file>